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88B" w:rsidRDefault="0028088B" w:rsidP="0028088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</w:t>
      </w:r>
      <w:r>
        <w:rPr>
          <w:noProof/>
        </w:rPr>
        <w:drawing>
          <wp:inline distT="0" distB="0" distL="0" distR="0" wp14:anchorId="1AE8E2D4" wp14:editId="7352A6A5">
            <wp:extent cx="1288473" cy="986309"/>
            <wp:effectExtent l="0" t="0" r="6985" b="4445"/>
            <wp:docPr id="1534100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322" cy="99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2673927</wp:posOffset>
                </wp:positionH>
                <wp:positionV relativeFrom="paragraph">
                  <wp:posOffset>-249382</wp:posOffset>
                </wp:positionV>
                <wp:extent cx="2479964" cy="1413164"/>
                <wp:effectExtent l="0" t="0" r="15875" b="15875"/>
                <wp:wrapNone/>
                <wp:docPr id="11039171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964" cy="14131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950" w:type="pct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6"/>
                            </w:tblGrid>
                            <w:tr w:rsidR="0028088B" w:rsidRPr="0028088B">
                              <w:trPr>
                                <w:trHeight w:val="285"/>
                              </w:trPr>
                              <w:tc>
                                <w:tcPr>
                                  <w:tcW w:w="5664" w:type="dxa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28088B" w:rsidRPr="0028088B" w:rsidRDefault="0028088B" w:rsidP="0028088B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088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Kerala State Information Technology Mission</w:t>
                                  </w:r>
                                </w:p>
                              </w:tc>
                            </w:tr>
                            <w:tr w:rsidR="0028088B" w:rsidRPr="0028088B">
                              <w:trPr>
                                <w:trHeight w:val="285"/>
                              </w:trPr>
                              <w:tc>
                                <w:tcPr>
                                  <w:tcW w:w="5664" w:type="dxa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28088B" w:rsidRPr="0028088B" w:rsidRDefault="0028088B" w:rsidP="0028088B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088B">
                                    <w:rPr>
                                      <w:sz w:val="16"/>
                                      <w:szCs w:val="16"/>
                                    </w:rPr>
                                    <w:t>Department of Electronics &amp; Information Technology</w:t>
                                  </w:r>
                                </w:p>
                              </w:tc>
                            </w:tr>
                            <w:tr w:rsidR="0028088B" w:rsidRPr="0028088B">
                              <w:trPr>
                                <w:trHeight w:val="268"/>
                              </w:trPr>
                              <w:tc>
                                <w:tcPr>
                                  <w:tcW w:w="5664" w:type="dxa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28088B" w:rsidRPr="0028088B" w:rsidRDefault="0028088B" w:rsidP="0028088B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088B">
                                    <w:rPr>
                                      <w:sz w:val="16"/>
                                      <w:szCs w:val="16"/>
                                    </w:rPr>
                                    <w:t>Government of Kerala</w:t>
                                  </w:r>
                                </w:p>
                              </w:tc>
                            </w:tr>
                            <w:tr w:rsidR="0028088B" w:rsidRPr="0028088B">
                              <w:trPr>
                                <w:trHeight w:val="285"/>
                              </w:trPr>
                              <w:tc>
                                <w:tcPr>
                                  <w:tcW w:w="5664" w:type="dxa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28088B" w:rsidRPr="0028088B" w:rsidRDefault="0028088B" w:rsidP="0028088B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088B">
                                    <w:rPr>
                                      <w:sz w:val="16"/>
                                      <w:szCs w:val="16"/>
                                    </w:rPr>
                                    <w:t>“</w:t>
                                  </w:r>
                                  <w:proofErr w:type="spellStart"/>
                                  <w:r w:rsidRPr="0028088B">
                                    <w:rPr>
                                      <w:sz w:val="16"/>
                                      <w:szCs w:val="16"/>
                                    </w:rPr>
                                    <w:t>Saankethika</w:t>
                                  </w:r>
                                  <w:proofErr w:type="spellEnd"/>
                                  <w:proofErr w:type="gramStart"/>
                                  <w:r w:rsidRPr="0028088B">
                                    <w:rPr>
                                      <w:sz w:val="16"/>
                                      <w:szCs w:val="16"/>
                                    </w:rPr>
                                    <w:t>”,Vrindavan</w:t>
                                  </w:r>
                                  <w:proofErr w:type="gramEnd"/>
                                  <w:r w:rsidRPr="0028088B">
                                    <w:rPr>
                                      <w:sz w:val="16"/>
                                      <w:szCs w:val="16"/>
                                    </w:rPr>
                                    <w:t xml:space="preserve"> Gardens</w:t>
                                  </w:r>
                                </w:p>
                              </w:tc>
                            </w:tr>
                            <w:tr w:rsidR="0028088B" w:rsidRPr="0028088B">
                              <w:trPr>
                                <w:trHeight w:val="285"/>
                              </w:trPr>
                              <w:tc>
                                <w:tcPr>
                                  <w:tcW w:w="5664" w:type="dxa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28088B" w:rsidRPr="0028088B" w:rsidRDefault="0028088B" w:rsidP="0028088B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28088B">
                                    <w:rPr>
                                      <w:sz w:val="16"/>
                                      <w:szCs w:val="16"/>
                                    </w:rPr>
                                    <w:t>Pattom,Thiruvananthapuram</w:t>
                                  </w:r>
                                  <w:proofErr w:type="spellEnd"/>
                                  <w:proofErr w:type="gramEnd"/>
                                  <w:r w:rsidRPr="0028088B">
                                    <w:rPr>
                                      <w:sz w:val="16"/>
                                      <w:szCs w:val="16"/>
                                    </w:rPr>
                                    <w:t xml:space="preserve"> 695 004, Kerala, India</w:t>
                                  </w:r>
                                </w:p>
                              </w:tc>
                            </w:tr>
                            <w:tr w:rsidR="0028088B" w:rsidRPr="0028088B">
                              <w:trPr>
                                <w:trHeight w:val="285"/>
                              </w:trPr>
                              <w:tc>
                                <w:tcPr>
                                  <w:tcW w:w="5664" w:type="dxa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28088B" w:rsidRPr="0028088B" w:rsidRDefault="0028088B" w:rsidP="0028088B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088B">
                                    <w:rPr>
                                      <w:sz w:val="16"/>
                                      <w:szCs w:val="16"/>
                                    </w:rPr>
                                    <w:t>Tel.+91 471 2525444</w:t>
                                  </w:r>
                                </w:p>
                              </w:tc>
                            </w:tr>
                            <w:tr w:rsidR="0028088B" w:rsidRPr="0028088B">
                              <w:trPr>
                                <w:trHeight w:val="300"/>
                              </w:trPr>
                              <w:tc>
                                <w:tcPr>
                                  <w:tcW w:w="5664" w:type="dxa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28088B" w:rsidRPr="0028088B" w:rsidRDefault="0028088B" w:rsidP="0028088B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088B">
                                    <w:rPr>
                                      <w:sz w:val="16"/>
                                      <w:szCs w:val="16"/>
                                    </w:rPr>
                                    <w:t>Email: admin.ksitm@kerala.gov.in</w:t>
                                  </w:r>
                                </w:p>
                              </w:tc>
                            </w:tr>
                          </w:tbl>
                          <w:p w:rsidR="0028088B" w:rsidRPr="0028088B" w:rsidRDefault="0028088B" w:rsidP="0028088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10.55pt;margin-top:-19.65pt;width:195.25pt;height:1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" fillcolor="white [3201]" strokecolor="white [3212]" strokeweight="1pt">
                <v:textbox>
                  <w:txbxContent>
                    <w:tbl>
                      <w:tblPr>
                        <w:tblW w:w="4950" w:type="pct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6"/>
                      </w:tblGrid>
                      <w:tr w:rsidR="0028088B" w:rsidRPr="0028088B">
                        <w:trPr>
                          <w:trHeight w:val="285"/>
                        </w:trPr>
                        <w:tc>
                          <w:tcPr>
                            <w:tcW w:w="5664" w:type="dxa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28088B" w:rsidRPr="0028088B" w:rsidRDefault="0028088B" w:rsidP="0028088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8088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Kerala State Information Technology Mission</w:t>
                            </w:r>
                          </w:p>
                        </w:tc>
                      </w:tr>
                      <w:tr w:rsidR="0028088B" w:rsidRPr="0028088B">
                        <w:trPr>
                          <w:trHeight w:val="285"/>
                        </w:trPr>
                        <w:tc>
                          <w:tcPr>
                            <w:tcW w:w="5664" w:type="dxa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28088B" w:rsidRPr="0028088B" w:rsidRDefault="0028088B" w:rsidP="0028088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8088B">
                              <w:rPr>
                                <w:sz w:val="16"/>
                                <w:szCs w:val="16"/>
                              </w:rPr>
                              <w:t>Department of Electronics &amp; Information Technology</w:t>
                            </w:r>
                          </w:p>
                        </w:tc>
                      </w:tr>
                      <w:tr w:rsidR="0028088B" w:rsidRPr="0028088B">
                        <w:trPr>
                          <w:trHeight w:val="268"/>
                        </w:trPr>
                        <w:tc>
                          <w:tcPr>
                            <w:tcW w:w="5664" w:type="dxa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28088B" w:rsidRPr="0028088B" w:rsidRDefault="0028088B" w:rsidP="0028088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8088B">
                              <w:rPr>
                                <w:sz w:val="16"/>
                                <w:szCs w:val="16"/>
                              </w:rPr>
                              <w:t>Government of Kerala</w:t>
                            </w:r>
                          </w:p>
                        </w:tc>
                      </w:tr>
                      <w:tr w:rsidR="0028088B" w:rsidRPr="0028088B">
                        <w:trPr>
                          <w:trHeight w:val="285"/>
                        </w:trPr>
                        <w:tc>
                          <w:tcPr>
                            <w:tcW w:w="5664" w:type="dxa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28088B" w:rsidRPr="0028088B" w:rsidRDefault="0028088B" w:rsidP="0028088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8088B">
                              <w:rPr>
                                <w:sz w:val="16"/>
                                <w:szCs w:val="16"/>
                              </w:rPr>
                              <w:t>“</w:t>
                            </w:r>
                            <w:proofErr w:type="spellStart"/>
                            <w:r w:rsidRPr="0028088B">
                              <w:rPr>
                                <w:sz w:val="16"/>
                                <w:szCs w:val="16"/>
                              </w:rPr>
                              <w:t>Saankethika</w:t>
                            </w:r>
                            <w:proofErr w:type="spellEnd"/>
                            <w:proofErr w:type="gramStart"/>
                            <w:r w:rsidRPr="0028088B">
                              <w:rPr>
                                <w:sz w:val="16"/>
                                <w:szCs w:val="16"/>
                              </w:rPr>
                              <w:t>”,Vrindavan</w:t>
                            </w:r>
                            <w:proofErr w:type="gramEnd"/>
                            <w:r w:rsidRPr="0028088B">
                              <w:rPr>
                                <w:sz w:val="16"/>
                                <w:szCs w:val="16"/>
                              </w:rPr>
                              <w:t xml:space="preserve"> Gardens</w:t>
                            </w:r>
                          </w:p>
                        </w:tc>
                      </w:tr>
                      <w:tr w:rsidR="0028088B" w:rsidRPr="0028088B">
                        <w:trPr>
                          <w:trHeight w:val="285"/>
                        </w:trPr>
                        <w:tc>
                          <w:tcPr>
                            <w:tcW w:w="5664" w:type="dxa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28088B" w:rsidRPr="0028088B" w:rsidRDefault="0028088B" w:rsidP="0028088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28088B">
                              <w:rPr>
                                <w:sz w:val="16"/>
                                <w:szCs w:val="16"/>
                              </w:rPr>
                              <w:t>Pattom,Thiruvananthapuram</w:t>
                            </w:r>
                            <w:proofErr w:type="spellEnd"/>
                            <w:proofErr w:type="gramEnd"/>
                            <w:r w:rsidRPr="0028088B">
                              <w:rPr>
                                <w:sz w:val="16"/>
                                <w:szCs w:val="16"/>
                              </w:rPr>
                              <w:t xml:space="preserve"> 695 004, Kerala, India</w:t>
                            </w:r>
                          </w:p>
                        </w:tc>
                      </w:tr>
                      <w:tr w:rsidR="0028088B" w:rsidRPr="0028088B">
                        <w:trPr>
                          <w:trHeight w:val="285"/>
                        </w:trPr>
                        <w:tc>
                          <w:tcPr>
                            <w:tcW w:w="5664" w:type="dxa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28088B" w:rsidRPr="0028088B" w:rsidRDefault="0028088B" w:rsidP="0028088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8088B">
                              <w:rPr>
                                <w:sz w:val="16"/>
                                <w:szCs w:val="16"/>
                              </w:rPr>
                              <w:t>Tel.+91 471 2525444</w:t>
                            </w:r>
                          </w:p>
                        </w:tc>
                      </w:tr>
                      <w:tr w:rsidR="0028088B" w:rsidRPr="0028088B">
                        <w:trPr>
                          <w:trHeight w:val="300"/>
                        </w:trPr>
                        <w:tc>
                          <w:tcPr>
                            <w:tcW w:w="5664" w:type="dxa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28088B" w:rsidRPr="0028088B" w:rsidRDefault="0028088B" w:rsidP="0028088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8088B">
                              <w:rPr>
                                <w:sz w:val="16"/>
                                <w:szCs w:val="16"/>
                              </w:rPr>
                              <w:t>Email: admin.ksitm@kerala.gov.in</w:t>
                            </w:r>
                          </w:p>
                        </w:tc>
                      </w:tr>
                    </w:tbl>
                    <w:p w:rsidR="0028088B" w:rsidRPr="0028088B" w:rsidRDefault="0028088B" w:rsidP="0028088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088B" w:rsidRDefault="0028088B" w:rsidP="0028088B">
      <w:pPr>
        <w:spacing w:after="0"/>
        <w:jc w:val="center"/>
        <w:rPr>
          <w:rFonts w:ascii="Arial" w:hAnsi="Arial" w:cs="Arial"/>
          <w:b/>
          <w:bCs/>
        </w:rPr>
      </w:pPr>
    </w:p>
    <w:p w:rsidR="0028088B" w:rsidRDefault="0028088B" w:rsidP="0028088B">
      <w:pPr>
        <w:spacing w:after="0"/>
        <w:jc w:val="center"/>
        <w:rPr>
          <w:rFonts w:ascii="Arial" w:hAnsi="Arial" w:cs="Arial"/>
          <w:b/>
          <w:bCs/>
        </w:rPr>
      </w:pPr>
    </w:p>
    <w:p w:rsidR="0028088B" w:rsidRDefault="0028088B" w:rsidP="0028088B">
      <w:pPr>
        <w:spacing w:after="0"/>
        <w:jc w:val="center"/>
        <w:rPr>
          <w:rFonts w:ascii="Arial" w:hAnsi="Arial" w:cs="Arial"/>
          <w:b/>
          <w:bCs/>
        </w:rPr>
      </w:pPr>
    </w:p>
    <w:p w:rsidR="0001795E" w:rsidRPr="0001795E" w:rsidRDefault="0001795E" w:rsidP="0028088B">
      <w:pPr>
        <w:spacing w:after="0"/>
        <w:jc w:val="center"/>
        <w:rPr>
          <w:rFonts w:ascii="Arial" w:hAnsi="Arial" w:cs="Arial"/>
          <w:b/>
          <w:bCs/>
        </w:rPr>
      </w:pPr>
      <w:r w:rsidRPr="0001795E">
        <w:rPr>
          <w:rFonts w:ascii="Arial" w:hAnsi="Arial" w:cs="Arial"/>
          <w:b/>
          <w:bCs/>
        </w:rPr>
        <w:t>TENDER NOTICE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Kerala State IT Mission (hereinafter as referred to as KSITM) invites online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 xml:space="preserve">bids under two-cover system from reputed and </w:t>
      </w:r>
      <w:proofErr w:type="gramStart"/>
      <w:r w:rsidRPr="0001795E">
        <w:rPr>
          <w:rFonts w:ascii="Arial" w:hAnsi="Arial" w:cs="Arial"/>
        </w:rPr>
        <w:t>financial</w:t>
      </w:r>
      <w:proofErr w:type="gramEnd"/>
      <w:r w:rsidRPr="0001795E">
        <w:rPr>
          <w:rFonts w:ascii="Arial" w:hAnsi="Arial" w:cs="Arial"/>
        </w:rPr>
        <w:t xml:space="preserve"> sound agencies /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 xml:space="preserve">firms for undertaking a </w:t>
      </w:r>
      <w:proofErr w:type="gramStart"/>
      <w:r w:rsidRPr="0001795E">
        <w:rPr>
          <w:rFonts w:ascii="Arial" w:hAnsi="Arial" w:cs="Arial"/>
        </w:rPr>
        <w:t>Non Comprehensive</w:t>
      </w:r>
      <w:proofErr w:type="gramEnd"/>
      <w:r w:rsidRPr="0001795E">
        <w:rPr>
          <w:rFonts w:ascii="Arial" w:hAnsi="Arial" w:cs="Arial"/>
        </w:rPr>
        <w:t xml:space="preserve"> Annual Maintenance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 xml:space="preserve">Contract (AMC) for Daikin Air Conditioners installed at </w:t>
      </w:r>
      <w:proofErr w:type="spellStart"/>
      <w:r w:rsidRPr="0001795E">
        <w:rPr>
          <w:rFonts w:ascii="Arial" w:hAnsi="Arial" w:cs="Arial"/>
        </w:rPr>
        <w:t>Saankethika</w:t>
      </w:r>
      <w:proofErr w:type="spellEnd"/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 xml:space="preserve">Building, Kerala State IT Mission, </w:t>
      </w:r>
      <w:proofErr w:type="spellStart"/>
      <w:r w:rsidRPr="0001795E">
        <w:rPr>
          <w:rFonts w:ascii="Arial" w:hAnsi="Arial" w:cs="Arial"/>
        </w:rPr>
        <w:t>Pattom</w:t>
      </w:r>
      <w:proofErr w:type="spellEnd"/>
      <w:r w:rsidRPr="0001795E">
        <w:rPr>
          <w:rFonts w:ascii="Arial" w:hAnsi="Arial" w:cs="Arial"/>
        </w:rPr>
        <w:t>, Trivandrum for a period of one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year on a contract basis.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  <w:b/>
          <w:bCs/>
        </w:rPr>
      </w:pPr>
      <w:r w:rsidRPr="0001795E">
        <w:rPr>
          <w:rFonts w:ascii="Arial" w:hAnsi="Arial" w:cs="Arial"/>
          <w:b/>
          <w:bCs/>
        </w:rPr>
        <w:t>SCOPE OF WORK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a. A DAIKIN VRV Air-conditioning System is installed at the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 xml:space="preserve">Kerala State IT Mission (KSITM), </w:t>
      </w:r>
      <w:proofErr w:type="spellStart"/>
      <w:r w:rsidRPr="0001795E">
        <w:rPr>
          <w:rFonts w:ascii="Arial" w:hAnsi="Arial" w:cs="Arial"/>
        </w:rPr>
        <w:t>Saankethika</w:t>
      </w:r>
      <w:proofErr w:type="spellEnd"/>
      <w:r w:rsidRPr="0001795E">
        <w:rPr>
          <w:rFonts w:ascii="Arial" w:hAnsi="Arial" w:cs="Arial"/>
        </w:rPr>
        <w:t xml:space="preserve"> Building, Vrindavan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 xml:space="preserve">Gardens, </w:t>
      </w:r>
      <w:proofErr w:type="spellStart"/>
      <w:r w:rsidRPr="0001795E">
        <w:rPr>
          <w:rFonts w:ascii="Arial" w:hAnsi="Arial" w:cs="Arial"/>
        </w:rPr>
        <w:t>Pattom</w:t>
      </w:r>
      <w:proofErr w:type="spellEnd"/>
      <w:r w:rsidRPr="0001795E">
        <w:rPr>
          <w:rFonts w:ascii="Arial" w:hAnsi="Arial" w:cs="Arial"/>
        </w:rPr>
        <w:t>, Thiruvananthapuram – 695004.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  <w:b/>
          <w:bCs/>
        </w:rPr>
      </w:pPr>
      <w:r w:rsidRPr="0001795E">
        <w:rPr>
          <w:rFonts w:ascii="Arial" w:hAnsi="Arial" w:cs="Arial"/>
        </w:rPr>
        <w:t xml:space="preserve">b. The installation comprises approximately </w:t>
      </w:r>
      <w:r w:rsidRPr="0001795E">
        <w:rPr>
          <w:rFonts w:ascii="Arial" w:hAnsi="Arial" w:cs="Arial"/>
          <w:b/>
          <w:bCs/>
        </w:rPr>
        <w:t>129 indoor units, 21</w:t>
      </w:r>
      <w:r w:rsidRPr="0001795E">
        <w:rPr>
          <w:rFonts w:ascii="Arial" w:hAnsi="Arial" w:cs="Arial"/>
          <w:b/>
          <w:bCs/>
        </w:rPr>
        <w:t xml:space="preserve"> </w:t>
      </w:r>
      <w:r w:rsidRPr="0001795E">
        <w:rPr>
          <w:rFonts w:ascii="Arial" w:hAnsi="Arial" w:cs="Arial"/>
          <w:b/>
          <w:bCs/>
        </w:rPr>
        <w:t>outdoor units, and 6 fresh air units (FAUs).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c. The purpose of this Non-Comprehensive AMC is to ensure the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smooth and efficient operation of the air-conditioning system through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regular preventive maintenance and prompt repair services.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d. Under the Non-Comprehensive AMC, replacement of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defective parts and consumables shall be carried out on a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chargeable basis. The cost of such replacements shall be incurred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only after prior approval, based on quotation submitted by the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service provider.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e. The bidder shall be a Daikin-authorized dealer/service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provider, having an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established service setup in Kerala with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adequate technical personnel, infrastructure, and experience in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handling Daikin VRV systems. The bidder must ensure the use of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genuine Daikin spare parts and consumables only.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f. The firm must have a proven track record in servicing and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maintaining Daikin VRV systems and adequate manpower, tools,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and testing equipment to execute the AMC effectively.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g. Preventive Maintenance to be carried out four (4) times a year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 xml:space="preserve">(once every quarter) or whenever requested, which shall </w:t>
      </w:r>
      <w:proofErr w:type="spellStart"/>
      <w:proofErr w:type="gramStart"/>
      <w:r w:rsidRPr="0001795E">
        <w:rPr>
          <w:rFonts w:ascii="Arial" w:hAnsi="Arial" w:cs="Arial"/>
        </w:rPr>
        <w:t>includes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detailed inspection, cleaning of filters and coils, checking refrigerant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level, verification of electrical connections, testing compressor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performance, and ensuring overall system efficiency.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h. Breakdown Maintenance: The contractor shall attend to all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complaints immediately upon intimation, during office hours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(Monday to Saturday). Maximum downtime: not to exceed 24 hours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from the time of reporting. Replacement of defective parts (except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those excluded under Non-Comprehensive AMC) shall be done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promptly with prior approval from KSITM.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proofErr w:type="spellStart"/>
      <w:r w:rsidRPr="0001795E">
        <w:rPr>
          <w:rFonts w:ascii="Arial" w:hAnsi="Arial" w:cs="Arial"/>
        </w:rPr>
        <w:lastRenderedPageBreak/>
        <w:t>i</w:t>
      </w:r>
      <w:proofErr w:type="spellEnd"/>
      <w:r w:rsidRPr="0001795E">
        <w:rPr>
          <w:rFonts w:ascii="Arial" w:hAnsi="Arial" w:cs="Arial"/>
        </w:rPr>
        <w:t>. Gas Charging: The contractor shall check refrigerant levels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during every preventive maintenance visit. Gas charging, if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required, shall be carried out using genuine Daikin refrigerants,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only after obtaining prior approval, based on quotations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submitted by the service provider.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j. Standby Arrangement: During major repairs requiring workshop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attention, the contractor shall provide a temporary standby unit at no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additional cost to ensure uninterrupted cooling in critical areas.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k. All servicing and repair work shall be carried out in a manner that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does not interfere with the normal operations of the office.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l. The contractor shall maintain a service history sheet/logbook for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each unit, recording all preventive maintenance, breakdown calls,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and parts replaced. A copy of the service report must be submitted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along with each quarterly bill to KSITM.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m. The air-conditioning system will be handed over to the contractor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on an “as-is-where-is” basis. The contractor shall inspect and verify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the functional condition of all units at the time of taking over the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AMC. Upon completion of the contract period, the entire system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must be handed back in fully functional condition, matching the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inventory and in good working order.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n. The contractor shall ensure availability of service engineers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during all working days from 9:30 AM to 6:00 PM (Monday to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Saturday). Emergency support must be made available 24x7,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including Sundays and holidays, without any additional cost in case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of critical breakdowns.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o. The contractor shall deploy qualified and trained service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personnel, equipped with necessary tools, testing instruments, and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safety gear to perform maintenance activities as per Daikin’s service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protocols.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p. The contractor shall be responsible for ensuring safety,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cleanliness, and proper disposal of waste materials during and after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maintenance activities.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 xml:space="preserve">q. The rates should be quoted for </w:t>
      </w:r>
      <w:proofErr w:type="gramStart"/>
      <w:r w:rsidRPr="0001795E">
        <w:rPr>
          <w:rFonts w:ascii="Arial" w:hAnsi="Arial" w:cs="Arial"/>
        </w:rPr>
        <w:t>Non Comprehensive</w:t>
      </w:r>
      <w:proofErr w:type="gramEnd"/>
      <w:r w:rsidRPr="0001795E">
        <w:rPr>
          <w:rFonts w:ascii="Arial" w:hAnsi="Arial" w:cs="Arial"/>
        </w:rPr>
        <w:t xml:space="preserve"> ANNUAL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MAINTENANCE exclusive of GST and applicable GST rate to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be shown separately. GST shall be paid as per prevailing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Government norms/rates. The price quoted shall be firm and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final.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r. If the performance of the contractor is not satisfactory and he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fails to attend the complaint to any of the works as contained in the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scope of work, recovery of Rs. 1000/- per day will be made from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>their bills.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01795E">
        <w:rPr>
          <w:rFonts w:ascii="Arial" w:hAnsi="Arial" w:cs="Arial"/>
        </w:rPr>
        <w:t xml:space="preserve">s. </w:t>
      </w:r>
      <w:r w:rsidRPr="0001795E">
        <w:rPr>
          <w:rFonts w:ascii="Arial" w:hAnsi="Arial" w:cs="Arial"/>
          <w:b/>
          <w:bCs/>
          <w:i/>
          <w:iCs/>
        </w:rPr>
        <w:t>Bidder can visit KSITM office for verification of AC units with</w:t>
      </w:r>
      <w:r w:rsidRPr="0001795E">
        <w:rPr>
          <w:rFonts w:ascii="Arial" w:hAnsi="Arial" w:cs="Arial"/>
          <w:b/>
          <w:bCs/>
          <w:i/>
          <w:iCs/>
        </w:rPr>
        <w:t xml:space="preserve"> </w:t>
      </w:r>
      <w:r w:rsidRPr="0001795E">
        <w:rPr>
          <w:rFonts w:ascii="Arial" w:hAnsi="Arial" w:cs="Arial"/>
          <w:b/>
          <w:bCs/>
          <w:i/>
          <w:iCs/>
        </w:rPr>
        <w:t xml:space="preserve">prior approval from Administrative Officer, KSITM </w:t>
      </w:r>
      <w:proofErr w:type="spellStart"/>
      <w:r w:rsidRPr="0001795E">
        <w:rPr>
          <w:rFonts w:ascii="Arial" w:hAnsi="Arial" w:cs="Arial"/>
          <w:b/>
          <w:bCs/>
          <w:i/>
          <w:iCs/>
        </w:rPr>
        <w:t>upto</w:t>
      </w:r>
      <w:proofErr w:type="spellEnd"/>
      <w:r w:rsidRPr="0001795E">
        <w:rPr>
          <w:rFonts w:ascii="Arial" w:hAnsi="Arial" w:cs="Arial"/>
          <w:b/>
          <w:bCs/>
          <w:i/>
          <w:iCs/>
        </w:rPr>
        <w:t xml:space="preserve"> 12:00 pm</w:t>
      </w:r>
      <w:r w:rsidRPr="0001795E">
        <w:rPr>
          <w:rFonts w:ascii="Arial" w:hAnsi="Arial" w:cs="Arial"/>
          <w:b/>
          <w:bCs/>
          <w:i/>
          <w:iCs/>
        </w:rPr>
        <w:t xml:space="preserve"> </w:t>
      </w:r>
      <w:r w:rsidRPr="0001795E">
        <w:rPr>
          <w:rFonts w:ascii="Arial" w:hAnsi="Arial" w:cs="Arial"/>
          <w:b/>
          <w:bCs/>
          <w:i/>
          <w:iCs/>
        </w:rPr>
        <w:t>on 17.01.2026</w:t>
      </w:r>
    </w:p>
    <w:p w:rsidR="0001795E" w:rsidRPr="0001795E" w:rsidRDefault="0001795E" w:rsidP="0001795E">
      <w:pPr>
        <w:spacing w:after="0"/>
        <w:jc w:val="both"/>
        <w:rPr>
          <w:rFonts w:ascii="Arial" w:hAnsi="Arial" w:cs="Arial"/>
        </w:rPr>
      </w:pPr>
      <w:r w:rsidRPr="0001795E">
        <w:rPr>
          <w:rFonts w:ascii="Arial" w:hAnsi="Arial" w:cs="Arial"/>
        </w:rPr>
        <w:t>1.1 Desirous companies/firm/agency can download tender documents w.</w:t>
      </w:r>
      <w:r>
        <w:rPr>
          <w:rFonts w:ascii="Arial" w:hAnsi="Arial" w:cs="Arial"/>
        </w:rPr>
        <w:t xml:space="preserve"> </w:t>
      </w:r>
      <w:r w:rsidRPr="0001795E">
        <w:rPr>
          <w:rFonts w:ascii="Arial" w:hAnsi="Arial" w:cs="Arial"/>
        </w:rPr>
        <w:t xml:space="preserve">e. f. </w:t>
      </w:r>
      <w:r w:rsidRPr="0001795E">
        <w:rPr>
          <w:rFonts w:ascii="Arial" w:hAnsi="Arial" w:cs="Arial"/>
          <w:b/>
          <w:bCs/>
        </w:rPr>
        <w:t>29.12.2025 10:00 a</w:t>
      </w:r>
      <w:r w:rsidRPr="0001795E">
        <w:rPr>
          <w:rFonts w:ascii="Arial" w:hAnsi="Arial" w:cs="Arial"/>
          <w:b/>
          <w:bCs/>
        </w:rPr>
        <w:t>m</w:t>
      </w:r>
      <w:r w:rsidR="0028088B">
        <w:rPr>
          <w:rFonts w:ascii="Arial" w:hAnsi="Arial" w:cs="Arial"/>
          <w:b/>
          <w:bCs/>
        </w:rPr>
        <w:t xml:space="preserve"> from </w:t>
      </w:r>
    </w:p>
    <w:sectPr w:rsidR="0001795E" w:rsidRPr="00017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5E"/>
    <w:rsid w:val="0001795E"/>
    <w:rsid w:val="0028088B"/>
    <w:rsid w:val="00B7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1251"/>
  <w15:chartTrackingRefBased/>
  <w15:docId w15:val="{41D88A39-E441-46C1-B4A4-94207F70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9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9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9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9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Kerala State IT Mission</dc:creator>
  <cp:keywords/>
  <dc:description/>
  <cp:lastModifiedBy>Kerala State IT Mission</cp:lastModifiedBy>
  <cp:revision>1</cp:revision>
  <dcterms:created xsi:type="dcterms:W3CDTF">2025-12-27T05:32:00Z</dcterms:created>
  <dcterms:modified xsi:type="dcterms:W3CDTF">2025-12-27T05:51:00Z</dcterms:modified>
</cp:coreProperties>
</file>